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3B" w:rsidRPr="00F6783B" w:rsidRDefault="00F6783B" w:rsidP="00F678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11E1F"/>
          <w:sz w:val="21"/>
          <w:szCs w:val="21"/>
          <w:lang w:eastAsia="fr-FR"/>
        </w:rPr>
      </w:pPr>
      <w:r w:rsidRPr="00F6783B">
        <w:rPr>
          <w:rFonts w:ascii="Tahoma" w:eastAsia="Times New Roman" w:hAnsi="Tahoma" w:cs="Tahoma"/>
          <w:noProof/>
          <w:color w:val="211E1F"/>
          <w:sz w:val="21"/>
          <w:szCs w:val="21"/>
          <w:lang w:eastAsia="fr-FR"/>
        </w:rPr>
        <w:drawing>
          <wp:inline distT="0" distB="0" distL="0" distR="0">
            <wp:extent cx="1333500" cy="1009650"/>
            <wp:effectExtent l="0" t="0" r="0" b="0"/>
            <wp:docPr id="2" name="Image 2" descr="Conseil Central de l’Économie (C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eil Central de l’Économie (CCE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3B" w:rsidRPr="00F6783B" w:rsidRDefault="00F6783B" w:rsidP="00F678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11E1F"/>
          <w:sz w:val="21"/>
          <w:szCs w:val="21"/>
          <w:lang w:eastAsia="fr-FR"/>
        </w:rPr>
      </w:pP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 </w:t>
      </w:r>
      <w:r w:rsidRPr="00F6783B">
        <w:rPr>
          <w:rFonts w:ascii="Tahoma" w:eastAsia="Times New Roman" w:hAnsi="Tahoma" w:cs="Tahoma"/>
          <w:noProof/>
          <w:color w:val="211E1F"/>
          <w:sz w:val="21"/>
          <w:szCs w:val="21"/>
          <w:lang w:eastAsia="fr-FR"/>
        </w:rPr>
        <w:drawing>
          <wp:inline distT="0" distB="0" distL="0" distR="0">
            <wp:extent cx="609600" cy="609600"/>
            <wp:effectExtent l="0" t="0" r="0" b="0"/>
            <wp:docPr id="1" name="Image 1" descr="Belg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gi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3B" w:rsidRPr="00F6783B" w:rsidRDefault="00F6783B" w:rsidP="00F6783B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211E1F"/>
          <w:sz w:val="21"/>
          <w:szCs w:val="21"/>
          <w:lang w:eastAsia="fr-FR"/>
        </w:rPr>
      </w:pP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Belgique</w:t>
      </w:r>
    </w:p>
    <w:p w:rsidR="00F6783B" w:rsidRPr="00F6783B" w:rsidRDefault="00F6783B" w:rsidP="00F678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11E1F"/>
          <w:sz w:val="18"/>
          <w:szCs w:val="18"/>
          <w:lang w:eastAsia="fr-FR"/>
        </w:rPr>
      </w:pPr>
      <w:r w:rsidRPr="00F6783B">
        <w:rPr>
          <w:rFonts w:ascii="Tahoma" w:eastAsia="Times New Roman" w:hAnsi="Tahoma" w:cs="Tahoma"/>
          <w:color w:val="929598"/>
          <w:sz w:val="18"/>
          <w:szCs w:val="18"/>
          <w:lang w:eastAsia="fr-FR"/>
        </w:rPr>
        <w:t>Date d'entrée: </w:t>
      </w:r>
      <w:r w:rsidRPr="00F6783B">
        <w:rPr>
          <w:rFonts w:ascii="Tahoma" w:eastAsia="Times New Roman" w:hAnsi="Tahoma" w:cs="Tahoma"/>
          <w:color w:val="211E1F"/>
          <w:sz w:val="18"/>
          <w:szCs w:val="18"/>
          <w:lang w:eastAsia="fr-FR"/>
        </w:rPr>
        <w:t>July 2, 1999</w:t>
      </w:r>
    </w:p>
    <w:p w:rsidR="00F6783B" w:rsidRPr="00F6783B" w:rsidRDefault="00F6783B" w:rsidP="00F6783B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211E1F"/>
          <w:sz w:val="21"/>
          <w:szCs w:val="21"/>
          <w:lang w:eastAsia="fr-FR"/>
        </w:rPr>
      </w:pP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Membre de l'AICESIS</w:t>
      </w:r>
    </w:p>
    <w:p w:rsidR="00F6783B" w:rsidRPr="00F6783B" w:rsidRDefault="00F6783B" w:rsidP="00F6783B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211E1F"/>
          <w:sz w:val="21"/>
          <w:szCs w:val="21"/>
          <w:lang w:eastAsia="fr-FR"/>
        </w:rPr>
      </w:pP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Membre de l'ILO</w:t>
      </w:r>
    </w:p>
    <w:p w:rsidR="00F6783B" w:rsidRPr="00F6783B" w:rsidRDefault="00F6783B" w:rsidP="00F6783B">
      <w:pPr>
        <w:shd w:val="clear" w:color="auto" w:fill="FFFFFF"/>
        <w:spacing w:before="225" w:after="225" w:line="240" w:lineRule="auto"/>
        <w:outlineLvl w:val="1"/>
        <w:rPr>
          <w:rFonts w:ascii="Tahoma" w:eastAsia="Times New Roman" w:hAnsi="Tahoma" w:cs="Tahoma"/>
          <w:b/>
          <w:bCs/>
          <w:color w:val="59595B"/>
          <w:sz w:val="30"/>
          <w:szCs w:val="30"/>
          <w:lang w:eastAsia="fr-FR"/>
        </w:rPr>
      </w:pPr>
      <w:r w:rsidRPr="00F6783B">
        <w:rPr>
          <w:rFonts w:ascii="Tahoma" w:eastAsia="Times New Roman" w:hAnsi="Tahoma" w:cs="Tahoma"/>
          <w:b/>
          <w:bCs/>
          <w:color w:val="59595B"/>
          <w:sz w:val="30"/>
          <w:szCs w:val="30"/>
          <w:lang w:eastAsia="fr-FR"/>
        </w:rPr>
        <w:t>Conseil Central de l’Économie (CCE)</w:t>
      </w:r>
    </w:p>
    <w:p w:rsidR="00F6783B" w:rsidRPr="00F6783B" w:rsidRDefault="00F6783B" w:rsidP="00F6783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11E1F"/>
          <w:sz w:val="21"/>
          <w:szCs w:val="21"/>
          <w:lang w:eastAsia="fr-FR"/>
        </w:rPr>
      </w:pP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 </w:t>
      </w:r>
    </w:p>
    <w:p w:rsidR="00F6783B" w:rsidRPr="00F6783B" w:rsidRDefault="00F6783B" w:rsidP="00F678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1E1F"/>
          <w:sz w:val="21"/>
          <w:szCs w:val="21"/>
          <w:lang w:eastAsia="fr-FR"/>
        </w:rPr>
      </w:pP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r w:rsidRPr="00F6783B">
        <w:rPr>
          <w:rFonts w:ascii="Tahoma" w:eastAsia="Times New Roman" w:hAnsi="Tahoma" w:cs="Tahoma"/>
          <w:b/>
          <w:bCs/>
          <w:color w:val="211E1F"/>
          <w:sz w:val="21"/>
          <w:szCs w:val="21"/>
          <w:lang w:eastAsia="fr-FR"/>
        </w:rPr>
        <w:t>Composition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sym w:font="Symbol" w:char="F0B7"/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Number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of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members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of the ESC 54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members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(and 54 substitutes)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sym w:font="Symbol" w:char="F0B7"/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Membership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structure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Group A: organisations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representative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of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industry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, agriculture,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trade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,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SMEs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,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craft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industry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, non-profit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Group B: organisations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representative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of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workers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,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including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consumption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cooperatives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representatives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Members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appointed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by the group A and the group B for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their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scientific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or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technical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skills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. There are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around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60 full time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employees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.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sym w:font="Symbol" w:char="F0B7"/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 Duration of 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term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4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years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renewable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sym w:font="Symbol" w:char="F0B7"/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Process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of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designating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members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(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election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, nomination, by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whom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, etc.)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appointed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by socio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professional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Organizations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r w:rsidRPr="00F6783B">
        <w:rPr>
          <w:rFonts w:ascii="Tahoma" w:eastAsia="Times New Roman" w:hAnsi="Tahoma" w:cs="Tahoma"/>
          <w:b/>
          <w:bCs/>
          <w:color w:val="211E1F"/>
          <w:sz w:val="21"/>
          <w:szCs w:val="21"/>
          <w:lang w:eastAsia="fr-FR"/>
        </w:rPr>
        <w:t>Mission and attributions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r w:rsidRPr="00F6783B">
        <w:rPr>
          <w:rFonts w:ascii="Tahoma" w:eastAsia="Times New Roman" w:hAnsi="Tahoma" w:cs="Tahoma"/>
          <w:b/>
          <w:bCs/>
          <w:color w:val="211E1F"/>
          <w:sz w:val="21"/>
          <w:szCs w:val="21"/>
          <w:lang w:eastAsia="fr-FR"/>
        </w:rPr>
        <w:t xml:space="preserve">Administrative </w:t>
      </w:r>
      <w:proofErr w:type="spellStart"/>
      <w:r w:rsidRPr="00F6783B">
        <w:rPr>
          <w:rFonts w:ascii="Tahoma" w:eastAsia="Times New Roman" w:hAnsi="Tahoma" w:cs="Tahoma"/>
          <w:b/>
          <w:bCs/>
          <w:color w:val="211E1F"/>
          <w:sz w:val="21"/>
          <w:szCs w:val="21"/>
          <w:lang w:eastAsia="fr-FR"/>
        </w:rPr>
        <w:t>organization</w:t>
      </w:r>
      <w:proofErr w:type="spellEnd"/>
      <w:r w:rsidRPr="00F6783B">
        <w:rPr>
          <w:rFonts w:ascii="Tahoma" w:eastAsia="Times New Roman" w:hAnsi="Tahoma" w:cs="Tahoma"/>
          <w:b/>
          <w:bCs/>
          <w:color w:val="211E1F"/>
          <w:sz w:val="21"/>
          <w:szCs w:val="21"/>
          <w:lang w:eastAsia="fr-FR"/>
        </w:rPr>
        <w:t xml:space="preserve"> of the ESC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Councillor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mandate 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is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 incompatible 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with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a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political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mandate (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Ministers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,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Parliament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member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) or a public mandate (civil servant).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President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is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appointed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by a royal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decree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after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consultation of the Council. 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President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is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an outsider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personality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of the administration and of  the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organizations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which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are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represented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in the Council. The duration of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his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mandate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is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6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years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renewable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.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There are  4  Vice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Presidents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appointed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by the Council for 4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years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(2 are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appointed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by the group A and 2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others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by the group B).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proofErr w:type="spellStart"/>
      <w:r w:rsidRPr="00F6783B">
        <w:rPr>
          <w:rFonts w:ascii="Tahoma" w:eastAsia="Times New Roman" w:hAnsi="Tahoma" w:cs="Tahoma"/>
          <w:b/>
          <w:bCs/>
          <w:color w:val="211E1F"/>
          <w:sz w:val="21"/>
          <w:szCs w:val="21"/>
          <w:lang w:eastAsia="fr-FR"/>
        </w:rPr>
        <w:t>Functioning</w:t>
      </w:r>
      <w:proofErr w:type="spellEnd"/>
      <w:r w:rsidRPr="00F6783B">
        <w:rPr>
          <w:rFonts w:ascii="Tahoma" w:eastAsia="Times New Roman" w:hAnsi="Tahoma" w:cs="Tahoma"/>
          <w:b/>
          <w:bCs/>
          <w:color w:val="211E1F"/>
          <w:sz w:val="21"/>
          <w:szCs w:val="21"/>
          <w:lang w:eastAsia="fr-FR"/>
        </w:rPr>
        <w:t xml:space="preserve"> of the ESC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A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Minister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 or one of  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Legislative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Chambers  (and in 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event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of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urgency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, a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federal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public administration)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convene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the Institution. It has a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legal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right to issue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own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-initiative opinion. 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The Institution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gives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its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opinions  to 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Government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, to 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Parliament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to the administration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concerned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for information. 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>The budget 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is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introduced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into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draft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budget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that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the Council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gives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to the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Minister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for 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Economy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.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After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negotiations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with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the Council, 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Minister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determines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the final budget and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registers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it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in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his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budget to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be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submitted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to the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legislative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Chambers. The Council manages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its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budget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independently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but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under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 administrative control of 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governmental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Commissioner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.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Councillors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receive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compensations for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being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present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and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refunds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of travelling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expenses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.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>List of the Commissions: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National and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European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Economic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Policy (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Follow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European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news /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Competitive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position, formation of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wages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and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labor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market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/ Structural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competitiveness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: R&amp;D, innovation, 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lastRenderedPageBreak/>
        <w:t>entrepreneuriat)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Organization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of 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Economy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(Information to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give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to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works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Councils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/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Accounting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system /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Corporate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governance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/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Corporate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social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responsibilities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)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Sustainable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Development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and New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Societies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Problems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(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Environmental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policy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/ 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Energy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policy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/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Energy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efficiency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/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Mobility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/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Poverty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and social inclusion)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Sectoral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Commissions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Competition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proofErr w:type="spellStart"/>
      <w:r w:rsidRPr="00F6783B">
        <w:rPr>
          <w:rFonts w:ascii="Tahoma" w:eastAsia="Times New Roman" w:hAnsi="Tahoma" w:cs="Tahoma"/>
          <w:b/>
          <w:bCs/>
          <w:color w:val="211E1F"/>
          <w:sz w:val="21"/>
          <w:szCs w:val="21"/>
          <w:lang w:eastAsia="fr-FR"/>
        </w:rPr>
        <w:t>Achievements</w:t>
      </w:r>
      <w:proofErr w:type="spellEnd"/>
      <w:r w:rsidRPr="00F6783B">
        <w:rPr>
          <w:rFonts w:ascii="Tahoma" w:eastAsia="Times New Roman" w:hAnsi="Tahoma" w:cs="Tahoma"/>
          <w:b/>
          <w:bCs/>
          <w:color w:val="211E1F"/>
          <w:sz w:val="21"/>
          <w:szCs w:val="21"/>
          <w:lang w:eastAsia="fr-FR"/>
        </w:rPr>
        <w:t xml:space="preserve"> of the ESC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sym w:font="Symbol" w:char="F0B7"/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 Main publications/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studies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community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patent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Accounting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Simplification and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accounts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control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Report on «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Belgium’s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energy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challenges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towards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2030 »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Workers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transport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from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home to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working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place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Technical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report on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available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margins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for 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payroll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tax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evolution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Social balance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sheet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simplification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Action plan for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Corporate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social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responsibility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Green book: “A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European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safe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,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competitive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and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sustainable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strategy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”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IAS/IFRS : user guide for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works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Councils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 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Fight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against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poverty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,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precarity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and social exclusion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Belgium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Attractivity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as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European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distribution centre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Diagnosis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on R&amp;D and innovation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Energy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efficiency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in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housing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sector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Business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outlooks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for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several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branches of 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economy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Sectoral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studies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for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several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branches of the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economy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Evaluation of programs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promoting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the entry of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young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people in the labour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market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Diagnosis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on training and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education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  <w:t xml:space="preserve">Structural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mechanisms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of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welfare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</w:t>
      </w:r>
      <w:proofErr w:type="spellStart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adjustments</w:t>
      </w:r>
      <w:proofErr w:type="spellEnd"/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sym w:font="Symbol" w:char="F0B7"/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 xml:space="preserve">  Best practices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br/>
      </w:r>
      <w:r w:rsidRPr="00F6783B">
        <w:rPr>
          <w:rFonts w:ascii="Tahoma" w:eastAsia="Times New Roman" w:hAnsi="Tahoma" w:cs="Tahoma"/>
          <w:b/>
          <w:bCs/>
          <w:color w:val="211E1F"/>
          <w:sz w:val="21"/>
          <w:szCs w:val="21"/>
          <w:lang w:eastAsia="fr-FR"/>
        </w:rPr>
        <w:t>Affiliations</w:t>
      </w: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 AICESIS</w:t>
      </w:r>
    </w:p>
    <w:p w:rsidR="00F6783B" w:rsidRPr="00F6783B" w:rsidRDefault="00F6783B" w:rsidP="00F6783B">
      <w:pPr>
        <w:shd w:val="clear" w:color="auto" w:fill="FFFFFF"/>
        <w:spacing w:before="300" w:after="225" w:line="240" w:lineRule="auto"/>
        <w:outlineLvl w:val="3"/>
        <w:rPr>
          <w:rFonts w:ascii="Tahoma" w:eastAsia="Times New Roman" w:hAnsi="Tahoma" w:cs="Tahoma"/>
          <w:b/>
          <w:bCs/>
          <w:color w:val="252525"/>
          <w:sz w:val="24"/>
          <w:szCs w:val="24"/>
          <w:lang w:eastAsia="fr-FR"/>
        </w:rPr>
      </w:pPr>
      <w:r w:rsidRPr="00F6783B">
        <w:rPr>
          <w:rFonts w:ascii="Tahoma" w:eastAsia="Times New Roman" w:hAnsi="Tahoma" w:cs="Tahoma"/>
          <w:b/>
          <w:bCs/>
          <w:color w:val="252525"/>
          <w:sz w:val="24"/>
          <w:szCs w:val="24"/>
          <w:lang w:eastAsia="fr-FR"/>
        </w:rPr>
        <w:t>Contacts</w:t>
      </w:r>
    </w:p>
    <w:p w:rsidR="00F6783B" w:rsidRPr="00F6783B" w:rsidRDefault="00F6783B" w:rsidP="00F6783B">
      <w:pPr>
        <w:shd w:val="clear" w:color="auto" w:fill="FFFFFF"/>
        <w:spacing w:before="105" w:after="150" w:line="240" w:lineRule="auto"/>
        <w:rPr>
          <w:rFonts w:ascii="Tahoma" w:eastAsia="Times New Roman" w:hAnsi="Tahoma" w:cs="Tahoma"/>
          <w:color w:val="211E1F"/>
          <w:sz w:val="21"/>
          <w:szCs w:val="21"/>
          <w:lang w:eastAsia="fr-FR"/>
        </w:rPr>
      </w:pP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(32-2) 233-88-11 / 41</w:t>
      </w:r>
    </w:p>
    <w:p w:rsidR="00F6783B" w:rsidRPr="00F6783B" w:rsidRDefault="00F6783B" w:rsidP="00F6783B">
      <w:pPr>
        <w:shd w:val="clear" w:color="auto" w:fill="FFFFFF"/>
        <w:spacing w:before="105" w:after="150" w:line="240" w:lineRule="auto"/>
        <w:rPr>
          <w:rFonts w:ascii="Tahoma" w:eastAsia="Times New Roman" w:hAnsi="Tahoma" w:cs="Tahoma"/>
          <w:color w:val="211E1F"/>
          <w:sz w:val="21"/>
          <w:szCs w:val="21"/>
          <w:lang w:eastAsia="fr-FR"/>
        </w:rPr>
      </w:pP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(32-2) 233-89-12</w:t>
      </w:r>
    </w:p>
    <w:p w:rsidR="00F6783B" w:rsidRPr="00F6783B" w:rsidRDefault="00F6783B" w:rsidP="00F678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1E1F"/>
          <w:sz w:val="21"/>
          <w:szCs w:val="21"/>
          <w:lang w:eastAsia="fr-FR"/>
        </w:rPr>
      </w:pPr>
      <w:hyperlink r:id="rId6" w:history="1">
        <w:r w:rsidRPr="00F6783B">
          <w:rPr>
            <w:rFonts w:ascii="Tahoma" w:eastAsia="Times New Roman" w:hAnsi="Tahoma" w:cs="Tahoma"/>
            <w:color w:val="1B75BB"/>
            <w:sz w:val="21"/>
            <w:szCs w:val="21"/>
            <w:u w:val="single"/>
            <w:lang w:eastAsia="fr-FR"/>
          </w:rPr>
          <w:t>mail@ccecrb.fgov.be / jpde@ccecrb.fgov.be</w:t>
        </w:r>
      </w:hyperlink>
    </w:p>
    <w:p w:rsidR="00F6783B" w:rsidRPr="00F6783B" w:rsidRDefault="00F6783B" w:rsidP="00F678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1E1F"/>
          <w:sz w:val="21"/>
          <w:szCs w:val="21"/>
          <w:lang w:eastAsia="fr-FR"/>
        </w:rPr>
      </w:pPr>
      <w:hyperlink r:id="rId7" w:tgtFrame="_blank" w:history="1">
        <w:r w:rsidRPr="00F6783B">
          <w:rPr>
            <w:rFonts w:ascii="Tahoma" w:eastAsia="Times New Roman" w:hAnsi="Tahoma" w:cs="Tahoma"/>
            <w:color w:val="1B75BB"/>
            <w:sz w:val="21"/>
            <w:szCs w:val="21"/>
            <w:u w:val="single"/>
            <w:lang w:eastAsia="fr-FR"/>
          </w:rPr>
          <w:t>www.ccecrb.fgov.be</w:t>
        </w:r>
      </w:hyperlink>
    </w:p>
    <w:p w:rsidR="00F6783B" w:rsidRPr="00F6783B" w:rsidRDefault="00F6783B" w:rsidP="00F6783B">
      <w:pPr>
        <w:shd w:val="clear" w:color="auto" w:fill="FFFFFF"/>
        <w:spacing w:before="105" w:after="150" w:line="240" w:lineRule="auto"/>
        <w:rPr>
          <w:rFonts w:ascii="Tahoma" w:eastAsia="Times New Roman" w:hAnsi="Tahoma" w:cs="Tahoma"/>
          <w:color w:val="211E1F"/>
          <w:sz w:val="21"/>
          <w:szCs w:val="21"/>
          <w:lang w:eastAsia="fr-FR"/>
        </w:rPr>
      </w:pPr>
      <w:r w:rsidRPr="00F6783B">
        <w:rPr>
          <w:rFonts w:ascii="Tahoma" w:eastAsia="Times New Roman" w:hAnsi="Tahoma" w:cs="Tahoma"/>
          <w:color w:val="211E1F"/>
          <w:sz w:val="21"/>
          <w:szCs w:val="21"/>
          <w:lang w:eastAsia="fr-FR"/>
        </w:rPr>
        <w:t>Avenue de la Joyeuse Entrée, 17-21 – B-1040 BRUSSELS (BELGIUM)</w:t>
      </w:r>
    </w:p>
    <w:p w:rsidR="00CB4F63" w:rsidRDefault="00F6783B">
      <w:bookmarkStart w:id="0" w:name="_GoBack"/>
      <w:bookmarkEnd w:id="0"/>
    </w:p>
    <w:sectPr w:rsidR="00CB4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9"/>
    <w:rsid w:val="00570244"/>
    <w:rsid w:val="00A44982"/>
    <w:rsid w:val="00AF4CA9"/>
    <w:rsid w:val="00F6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F599D-7FD9-4E10-BDB0-52924BBB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67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678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6783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6783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6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z12">
    <w:name w:val="fz12"/>
    <w:basedOn w:val="Normal"/>
    <w:rsid w:val="00F6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llggrey">
    <w:name w:val="cl_lg_grey"/>
    <w:basedOn w:val="Policepardfaut"/>
    <w:rsid w:val="00F6783B"/>
  </w:style>
  <w:style w:type="character" w:styleId="lev">
    <w:name w:val="Strong"/>
    <w:basedOn w:val="Policepardfaut"/>
    <w:uiPriority w:val="22"/>
    <w:qFormat/>
    <w:rsid w:val="00F6783B"/>
    <w:rPr>
      <w:b/>
      <w:bCs/>
    </w:rPr>
  </w:style>
  <w:style w:type="paragraph" w:customStyle="1" w:styleId="icophone">
    <w:name w:val="ico_phone"/>
    <w:basedOn w:val="Normal"/>
    <w:rsid w:val="00F6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cofax">
    <w:name w:val="ico_fax"/>
    <w:basedOn w:val="Normal"/>
    <w:rsid w:val="00F6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coemail">
    <w:name w:val="ico_email"/>
    <w:basedOn w:val="Normal"/>
    <w:rsid w:val="00F6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6783B"/>
    <w:rPr>
      <w:color w:val="0000FF"/>
      <w:u w:val="single"/>
    </w:rPr>
  </w:style>
  <w:style w:type="paragraph" w:customStyle="1" w:styleId="fz14">
    <w:name w:val="fz14"/>
    <w:basedOn w:val="Normal"/>
    <w:rsid w:val="00F6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coaddress">
    <w:name w:val="ico_address"/>
    <w:basedOn w:val="Normal"/>
    <w:rsid w:val="00F6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2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4161">
              <w:marLeft w:val="0"/>
              <w:marRight w:val="0"/>
              <w:marTop w:val="0"/>
              <w:marBottom w:val="0"/>
              <w:divBdr>
                <w:top w:val="single" w:sz="6" w:space="4" w:color="F0F0F0"/>
                <w:left w:val="single" w:sz="6" w:space="4" w:color="F0F0F0"/>
                <w:bottom w:val="single" w:sz="6" w:space="4" w:color="F0F0F0"/>
                <w:right w:val="single" w:sz="6" w:space="4" w:color="F0F0F0"/>
              </w:divBdr>
            </w:div>
            <w:div w:id="165360514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469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6861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cecrb.fgov.b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ccecrb.fgov.be%20/%20jpde@ccecrb.fgov.b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Magiriswebdesign</dc:creator>
  <cp:keywords/>
  <dc:description/>
  <cp:lastModifiedBy>Magiriswebdesign</cp:lastModifiedBy>
  <cp:revision>2</cp:revision>
  <dcterms:created xsi:type="dcterms:W3CDTF">2019-09-04T14:58:00Z</dcterms:created>
  <dcterms:modified xsi:type="dcterms:W3CDTF">2019-09-04T14:58:00Z</dcterms:modified>
</cp:coreProperties>
</file>